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41E713">
      <w:pPr>
        <w:keepNext w:val="0"/>
        <w:keepLines w:val="0"/>
        <w:pageBreakBefore w:val="0"/>
        <w:widowControl w:val="0"/>
        <w:kinsoku/>
        <w:wordWrap/>
        <w:overflowPunct/>
        <w:topLinePunct w:val="0"/>
        <w:autoSpaceDE/>
        <w:autoSpaceDN/>
        <w:bidi w:val="0"/>
        <w:adjustRightInd/>
        <w:snapToGrid/>
        <w:spacing w:after="157" w:afterLines="50" w:line="720" w:lineRule="exact"/>
        <w:jc w:val="center"/>
        <w:textAlignment w:val="auto"/>
        <w:rPr>
          <w:rFonts w:hint="eastAsia" w:ascii="方正小标宋简体" w:hAnsi="方正小标宋简体" w:eastAsia="方正小标宋简体" w:cs="方正小标宋简体"/>
          <w:sz w:val="44"/>
          <w:szCs w:val="52"/>
        </w:rPr>
      </w:pPr>
      <w:r>
        <w:rPr>
          <w:rFonts w:hint="eastAsia" w:ascii="方正小标宋简体" w:hAnsi="方正小标宋简体" w:eastAsia="方正小标宋简体" w:cs="方正小标宋简体"/>
          <w:sz w:val="44"/>
          <w:szCs w:val="52"/>
        </w:rPr>
        <w:t>河南省高等学校哲学社会科学创新人才支持计划实施办法</w:t>
      </w:r>
    </w:p>
    <w:p w14:paraId="2D7314C5">
      <w:pPr>
        <w:keepNext w:val="0"/>
        <w:keepLines w:val="0"/>
        <w:pageBreakBefore w:val="0"/>
        <w:widowControl w:val="0"/>
        <w:numPr>
          <w:ilvl w:val="0"/>
          <w:numId w:val="1"/>
        </w:numPr>
        <w:kinsoku/>
        <w:wordWrap/>
        <w:overflowPunct/>
        <w:topLinePunct w:val="0"/>
        <w:autoSpaceDE/>
        <w:autoSpaceDN/>
        <w:bidi w:val="0"/>
        <w:adjustRightInd/>
        <w:snapToGrid/>
        <w:spacing w:line="600" w:lineRule="exact"/>
        <w:ind w:left="108" w:leftChars="0" w:firstLine="0" w:firstLineChars="0"/>
        <w:jc w:val="center"/>
        <w:textAlignment w:val="auto"/>
        <w:rPr>
          <w:rFonts w:hint="eastAsia" w:ascii="仿宋" w:hAnsi="仿宋" w:eastAsia="仿宋" w:cs="仿宋"/>
          <w:b/>
          <w:bCs/>
          <w:sz w:val="28"/>
          <w:szCs w:val="36"/>
        </w:rPr>
      </w:pPr>
      <w:r>
        <w:rPr>
          <w:rFonts w:hint="eastAsia" w:ascii="仿宋" w:hAnsi="仿宋" w:eastAsia="仿宋" w:cs="仿宋"/>
          <w:b/>
          <w:bCs/>
          <w:sz w:val="28"/>
          <w:szCs w:val="36"/>
        </w:rPr>
        <w:t>总 则</w:t>
      </w:r>
    </w:p>
    <w:p w14:paraId="63C91FE8">
      <w:pPr>
        <w:keepNext w:val="0"/>
        <w:keepLines w:val="0"/>
        <w:pageBreakBefore w:val="0"/>
        <w:widowControl w:val="0"/>
        <w:numPr>
          <w:ilvl w:val="0"/>
          <w:numId w:val="2"/>
        </w:numPr>
        <w:kinsoku/>
        <w:wordWrap/>
        <w:overflowPunct/>
        <w:topLinePunct w:val="0"/>
        <w:autoSpaceDE/>
        <w:autoSpaceDN/>
        <w:bidi w:val="0"/>
        <w:adjustRightInd/>
        <w:snapToGrid/>
        <w:spacing w:line="600" w:lineRule="exact"/>
        <w:ind w:left="108" w:leftChars="0" w:firstLine="560" w:firstLineChars="200"/>
        <w:textAlignment w:val="auto"/>
        <w:rPr>
          <w:rFonts w:hint="eastAsia" w:ascii="仿宋" w:hAnsi="仿宋" w:eastAsia="仿宋" w:cs="仿宋"/>
          <w:sz w:val="28"/>
          <w:szCs w:val="36"/>
        </w:rPr>
      </w:pPr>
      <w:r>
        <w:rPr>
          <w:rFonts w:hint="eastAsia" w:ascii="仿宋" w:hAnsi="仿宋" w:eastAsia="仿宋" w:cs="仿宋"/>
          <w:sz w:val="28"/>
          <w:szCs w:val="36"/>
        </w:rPr>
        <w:t>为加强我省高等学校哲学社会科学高层次人才队伍建设，培养和造就一批具有国际国内领先水平的创新人才，进一步繁荣哲学社会科学，根据《中共河南省委 河南省人民政府关于深化人才发展体制机制改革加快人才强省建设的实施意见》(豫发〔2017〕 13号)，制订本办法。   　　</w:t>
      </w:r>
    </w:p>
    <w:p w14:paraId="645EA91B">
      <w:pPr>
        <w:keepNext w:val="0"/>
        <w:keepLines w:val="0"/>
        <w:pageBreakBefore w:val="0"/>
        <w:widowControl w:val="0"/>
        <w:numPr>
          <w:ilvl w:val="0"/>
          <w:numId w:val="2"/>
        </w:numPr>
        <w:kinsoku/>
        <w:wordWrap/>
        <w:overflowPunct/>
        <w:topLinePunct w:val="0"/>
        <w:autoSpaceDE/>
        <w:autoSpaceDN/>
        <w:bidi w:val="0"/>
        <w:adjustRightInd/>
        <w:snapToGrid/>
        <w:spacing w:line="600" w:lineRule="exact"/>
        <w:ind w:left="108" w:leftChars="0" w:firstLine="560" w:firstLineChars="200"/>
        <w:textAlignment w:val="auto"/>
        <w:rPr>
          <w:rFonts w:hint="eastAsia" w:ascii="仿宋" w:hAnsi="仿宋" w:eastAsia="仿宋" w:cs="仿宋"/>
          <w:sz w:val="28"/>
          <w:szCs w:val="36"/>
        </w:rPr>
      </w:pPr>
      <w:r>
        <w:rPr>
          <w:rFonts w:hint="eastAsia" w:ascii="仿宋" w:hAnsi="仿宋" w:eastAsia="仿宋" w:cs="仿宋"/>
          <w:sz w:val="28"/>
          <w:szCs w:val="36"/>
        </w:rPr>
        <w:t>哲学社会科学创新人才支持计划重点支持高等学校优秀人才围绕学科前沿、社会需求和哲学社会科学重点问题开展创新性研究，力争在关键领域取得标志性成果，提高高等学校的人才培养质量、创新能力和核心竞争力。   　　</w:t>
      </w:r>
    </w:p>
    <w:p w14:paraId="3085608B">
      <w:pPr>
        <w:keepNext w:val="0"/>
        <w:keepLines w:val="0"/>
        <w:pageBreakBefore w:val="0"/>
        <w:widowControl w:val="0"/>
        <w:numPr>
          <w:ilvl w:val="0"/>
          <w:numId w:val="2"/>
        </w:numPr>
        <w:kinsoku/>
        <w:wordWrap/>
        <w:overflowPunct/>
        <w:topLinePunct w:val="0"/>
        <w:autoSpaceDE/>
        <w:autoSpaceDN/>
        <w:bidi w:val="0"/>
        <w:adjustRightInd/>
        <w:snapToGrid/>
        <w:spacing w:line="600" w:lineRule="exact"/>
        <w:ind w:left="108" w:leftChars="0" w:firstLine="560" w:firstLineChars="200"/>
        <w:textAlignment w:val="auto"/>
        <w:rPr>
          <w:rFonts w:hint="eastAsia" w:ascii="仿宋" w:hAnsi="仿宋" w:eastAsia="仿宋" w:cs="仿宋"/>
          <w:sz w:val="28"/>
          <w:szCs w:val="36"/>
        </w:rPr>
      </w:pPr>
      <w:r>
        <w:rPr>
          <w:rFonts w:hint="eastAsia" w:ascii="仿宋" w:hAnsi="仿宋" w:eastAsia="仿宋" w:cs="仿宋"/>
          <w:sz w:val="28"/>
          <w:szCs w:val="36"/>
        </w:rPr>
        <w:t>哲学社会科学创新人才支持计划评审工作坚持尊重知识、尊重人才、尊重创造的方针，按照公开、公正、公平的原则，经省教育厅组织评审后择优支持。   　　</w:t>
      </w:r>
      <w:bookmarkStart w:id="0" w:name="_GoBack"/>
      <w:bookmarkEnd w:id="0"/>
    </w:p>
    <w:p w14:paraId="3389DBA6">
      <w:pPr>
        <w:keepNext w:val="0"/>
        <w:keepLines w:val="0"/>
        <w:pageBreakBefore w:val="0"/>
        <w:widowControl w:val="0"/>
        <w:numPr>
          <w:ilvl w:val="0"/>
          <w:numId w:val="2"/>
        </w:numPr>
        <w:kinsoku/>
        <w:wordWrap/>
        <w:overflowPunct/>
        <w:topLinePunct w:val="0"/>
        <w:autoSpaceDE/>
        <w:autoSpaceDN/>
        <w:bidi w:val="0"/>
        <w:adjustRightInd/>
        <w:snapToGrid/>
        <w:spacing w:line="600" w:lineRule="exact"/>
        <w:ind w:left="108" w:leftChars="0" w:firstLine="560" w:firstLineChars="200"/>
        <w:textAlignment w:val="auto"/>
        <w:rPr>
          <w:rFonts w:hint="eastAsia" w:ascii="仿宋" w:hAnsi="仿宋" w:eastAsia="仿宋" w:cs="仿宋"/>
          <w:sz w:val="28"/>
          <w:szCs w:val="36"/>
        </w:rPr>
      </w:pPr>
      <w:r>
        <w:rPr>
          <w:rFonts w:hint="eastAsia" w:ascii="仿宋" w:hAnsi="仿宋" w:eastAsia="仿宋" w:cs="仿宋"/>
          <w:sz w:val="28"/>
          <w:szCs w:val="36"/>
        </w:rPr>
        <w:t xml:space="preserve">省教育厅社会科学研究与语言文字应用管理处负责哲学社会科学创新人才支持计划的组织实施和日常管理工作。   </w:t>
      </w:r>
    </w:p>
    <w:p w14:paraId="3764E29E">
      <w:pPr>
        <w:keepNext w:val="0"/>
        <w:keepLines w:val="0"/>
        <w:pageBreakBefore w:val="0"/>
        <w:widowControl w:val="0"/>
        <w:numPr>
          <w:ilvl w:val="0"/>
          <w:numId w:val="1"/>
        </w:numPr>
        <w:kinsoku/>
        <w:wordWrap/>
        <w:overflowPunct/>
        <w:topLinePunct w:val="0"/>
        <w:autoSpaceDE/>
        <w:autoSpaceDN/>
        <w:bidi w:val="0"/>
        <w:adjustRightInd/>
        <w:snapToGrid/>
        <w:spacing w:line="600" w:lineRule="exact"/>
        <w:ind w:left="108" w:leftChars="0" w:firstLine="0" w:firstLineChars="0"/>
        <w:jc w:val="center"/>
        <w:textAlignment w:val="auto"/>
        <w:rPr>
          <w:rFonts w:hint="eastAsia" w:ascii="仿宋" w:hAnsi="仿宋" w:eastAsia="仿宋" w:cs="仿宋"/>
          <w:b/>
          <w:bCs/>
          <w:sz w:val="28"/>
          <w:szCs w:val="36"/>
        </w:rPr>
      </w:pPr>
      <w:r>
        <w:rPr>
          <w:rFonts w:hint="eastAsia" w:ascii="仿宋" w:hAnsi="仿宋" w:eastAsia="仿宋" w:cs="仿宋"/>
          <w:b/>
          <w:bCs/>
          <w:sz w:val="28"/>
          <w:szCs w:val="36"/>
        </w:rPr>
        <w:t>范围与条件</w:t>
      </w:r>
    </w:p>
    <w:p w14:paraId="050BB045">
      <w:pPr>
        <w:keepNext w:val="0"/>
        <w:keepLines w:val="0"/>
        <w:pageBreakBefore w:val="0"/>
        <w:widowControl w:val="0"/>
        <w:numPr>
          <w:ilvl w:val="0"/>
          <w:numId w:val="2"/>
        </w:numPr>
        <w:kinsoku/>
        <w:wordWrap/>
        <w:overflowPunct/>
        <w:topLinePunct w:val="0"/>
        <w:autoSpaceDE/>
        <w:autoSpaceDN/>
        <w:bidi w:val="0"/>
        <w:adjustRightInd/>
        <w:snapToGrid/>
        <w:spacing w:line="600" w:lineRule="exact"/>
        <w:ind w:left="108" w:leftChars="0" w:firstLine="560" w:firstLineChars="200"/>
        <w:textAlignment w:val="auto"/>
        <w:rPr>
          <w:rFonts w:hint="eastAsia" w:ascii="仿宋" w:hAnsi="仿宋" w:eastAsia="仿宋" w:cs="仿宋"/>
          <w:sz w:val="28"/>
          <w:szCs w:val="36"/>
        </w:rPr>
      </w:pPr>
      <w:r>
        <w:rPr>
          <w:rFonts w:hint="eastAsia" w:ascii="仿宋" w:hAnsi="仿宋" w:eastAsia="仿宋" w:cs="仿宋"/>
          <w:sz w:val="28"/>
          <w:szCs w:val="36"/>
        </w:rPr>
        <w:t>哲学社会科学创新人才支持计划申报范围限于全省普通高等学校。申报人已获得国家级、省部级等高层次人才计划和本计划支持的，不再给予支持。   　　</w:t>
      </w:r>
    </w:p>
    <w:p w14:paraId="3DB0507F">
      <w:pPr>
        <w:keepNext w:val="0"/>
        <w:keepLines w:val="0"/>
        <w:pageBreakBefore w:val="0"/>
        <w:widowControl w:val="0"/>
        <w:numPr>
          <w:ilvl w:val="0"/>
          <w:numId w:val="2"/>
        </w:numPr>
        <w:kinsoku/>
        <w:wordWrap/>
        <w:overflowPunct/>
        <w:topLinePunct w:val="0"/>
        <w:autoSpaceDE/>
        <w:autoSpaceDN/>
        <w:bidi w:val="0"/>
        <w:adjustRightInd/>
        <w:snapToGrid/>
        <w:spacing w:line="600" w:lineRule="exact"/>
        <w:ind w:left="108" w:leftChars="0" w:firstLine="560" w:firstLineChars="200"/>
        <w:textAlignment w:val="auto"/>
        <w:rPr>
          <w:rFonts w:hint="eastAsia" w:ascii="仿宋" w:hAnsi="仿宋" w:eastAsia="仿宋" w:cs="仿宋"/>
          <w:sz w:val="28"/>
          <w:szCs w:val="36"/>
        </w:rPr>
      </w:pPr>
      <w:r>
        <w:rPr>
          <w:rFonts w:hint="eastAsia" w:ascii="仿宋" w:hAnsi="仿宋" w:eastAsia="仿宋" w:cs="仿宋"/>
          <w:sz w:val="28"/>
          <w:szCs w:val="36"/>
        </w:rPr>
        <w:t>支持的对象应具备以下条件：   　　</w:t>
      </w:r>
    </w:p>
    <w:p w14:paraId="63481253">
      <w:pPr>
        <w:keepNext w:val="0"/>
        <w:keepLines w:val="0"/>
        <w:pageBreakBefore w:val="0"/>
        <w:widowControl w:val="0"/>
        <w:numPr>
          <w:ilvl w:val="0"/>
          <w:numId w:val="3"/>
        </w:numPr>
        <w:kinsoku/>
        <w:wordWrap/>
        <w:overflowPunct/>
        <w:topLinePunct w:val="0"/>
        <w:autoSpaceDE/>
        <w:autoSpaceDN/>
        <w:bidi w:val="0"/>
        <w:adjustRightInd/>
        <w:snapToGrid/>
        <w:spacing w:line="600" w:lineRule="exact"/>
        <w:ind w:left="0" w:leftChars="0" w:firstLine="420" w:firstLineChars="0"/>
        <w:textAlignment w:val="auto"/>
        <w:rPr>
          <w:rFonts w:hint="eastAsia" w:ascii="仿宋" w:hAnsi="仿宋" w:eastAsia="仿宋" w:cs="仿宋"/>
          <w:sz w:val="28"/>
          <w:szCs w:val="36"/>
        </w:rPr>
      </w:pPr>
      <w:r>
        <w:rPr>
          <w:rFonts w:hint="eastAsia" w:ascii="仿宋" w:hAnsi="仿宋" w:eastAsia="仿宋" w:cs="仿宋"/>
          <w:sz w:val="28"/>
          <w:szCs w:val="36"/>
        </w:rPr>
        <w:t>热爱社会主义祖国，坚持四项基本原则，道德高尚，治学严谨，具有强烈的事业心和求实、创新、协作、奉献精神；具有良好的研究工作基础，在人文社会科学研究领域取得同行公认的创新性成果；具有较大的发展潜力，拟开展的研究工作有创新性构想，并有充分的时间和精力从事本计划支持的研究工作；在普通高等学校教学和科研第一线工作，具有博士学位或受聘副教授以上的专业技术职务；申请者年龄不超过40周岁。   　　</w:t>
      </w:r>
    </w:p>
    <w:p w14:paraId="5220672E">
      <w:pPr>
        <w:keepNext w:val="0"/>
        <w:keepLines w:val="0"/>
        <w:pageBreakBefore w:val="0"/>
        <w:widowControl w:val="0"/>
        <w:numPr>
          <w:ilvl w:val="0"/>
          <w:numId w:val="3"/>
        </w:numPr>
        <w:kinsoku/>
        <w:wordWrap/>
        <w:overflowPunct/>
        <w:topLinePunct w:val="0"/>
        <w:autoSpaceDE/>
        <w:autoSpaceDN/>
        <w:bidi w:val="0"/>
        <w:adjustRightInd/>
        <w:snapToGrid/>
        <w:spacing w:line="600" w:lineRule="exact"/>
        <w:ind w:left="0" w:leftChars="0" w:firstLine="420" w:firstLineChars="0"/>
        <w:textAlignment w:val="auto"/>
        <w:rPr>
          <w:rFonts w:hint="eastAsia" w:ascii="仿宋" w:hAnsi="仿宋" w:eastAsia="仿宋" w:cs="仿宋"/>
          <w:sz w:val="28"/>
          <w:szCs w:val="36"/>
        </w:rPr>
      </w:pPr>
      <w:r>
        <w:rPr>
          <w:rFonts w:hint="eastAsia" w:ascii="仿宋" w:hAnsi="仿宋" w:eastAsia="仿宋" w:cs="仿宋"/>
          <w:sz w:val="28"/>
          <w:szCs w:val="36"/>
        </w:rPr>
        <w:t xml:space="preserve">以下4个条件至少达到其中2项（ 申请人为主持人或第一完成人）： 主持完成国家社科基金项目、国家自科基金（管理学部） 或教育部人文社科研究项目； 在权威期刊目录上发表论文1篇以上； 在权威著作目录上出版著作1部以上； 获得过省部级奖励二等奖1项以上。   </w:t>
      </w:r>
    </w:p>
    <w:p w14:paraId="06C845A1">
      <w:pPr>
        <w:keepNext w:val="0"/>
        <w:keepLines w:val="0"/>
        <w:pageBreakBefore w:val="0"/>
        <w:widowControl w:val="0"/>
        <w:numPr>
          <w:ilvl w:val="0"/>
          <w:numId w:val="1"/>
        </w:numPr>
        <w:kinsoku/>
        <w:wordWrap/>
        <w:overflowPunct/>
        <w:topLinePunct w:val="0"/>
        <w:autoSpaceDE/>
        <w:autoSpaceDN/>
        <w:bidi w:val="0"/>
        <w:adjustRightInd/>
        <w:snapToGrid/>
        <w:spacing w:line="600" w:lineRule="exact"/>
        <w:ind w:left="108" w:leftChars="0" w:firstLine="0" w:firstLineChars="0"/>
        <w:jc w:val="center"/>
        <w:textAlignment w:val="auto"/>
        <w:rPr>
          <w:rFonts w:hint="eastAsia" w:ascii="仿宋" w:hAnsi="仿宋" w:eastAsia="仿宋" w:cs="仿宋"/>
          <w:b/>
          <w:bCs/>
          <w:sz w:val="28"/>
          <w:szCs w:val="36"/>
        </w:rPr>
      </w:pPr>
      <w:r>
        <w:rPr>
          <w:rFonts w:hint="eastAsia" w:ascii="仿宋" w:hAnsi="仿宋" w:eastAsia="仿宋" w:cs="仿宋"/>
          <w:b/>
          <w:bCs/>
          <w:sz w:val="28"/>
          <w:szCs w:val="36"/>
        </w:rPr>
        <w:t>申请与推荐</w:t>
      </w:r>
    </w:p>
    <w:p w14:paraId="14AD2E05">
      <w:pPr>
        <w:keepNext w:val="0"/>
        <w:keepLines w:val="0"/>
        <w:pageBreakBefore w:val="0"/>
        <w:widowControl w:val="0"/>
        <w:numPr>
          <w:ilvl w:val="0"/>
          <w:numId w:val="2"/>
        </w:numPr>
        <w:kinsoku/>
        <w:wordWrap/>
        <w:overflowPunct/>
        <w:topLinePunct w:val="0"/>
        <w:autoSpaceDE/>
        <w:autoSpaceDN/>
        <w:bidi w:val="0"/>
        <w:adjustRightInd/>
        <w:snapToGrid/>
        <w:spacing w:line="600" w:lineRule="exact"/>
        <w:ind w:left="108" w:leftChars="0" w:firstLine="560" w:firstLineChars="200"/>
        <w:textAlignment w:val="auto"/>
        <w:rPr>
          <w:rFonts w:hint="eastAsia" w:ascii="仿宋" w:hAnsi="仿宋" w:eastAsia="仿宋" w:cs="仿宋"/>
          <w:sz w:val="28"/>
          <w:szCs w:val="36"/>
        </w:rPr>
      </w:pPr>
      <w:r>
        <w:rPr>
          <w:rFonts w:hint="eastAsia" w:ascii="仿宋" w:hAnsi="仿宋" w:eastAsia="仿宋" w:cs="仿宋"/>
          <w:sz w:val="28"/>
          <w:szCs w:val="36"/>
        </w:rPr>
        <w:t>哲学社会科学创新人才支持计划分年度实施，受理时间以当年度申报通知为准。   　　</w:t>
      </w:r>
    </w:p>
    <w:p w14:paraId="62AE1F93">
      <w:pPr>
        <w:keepNext w:val="0"/>
        <w:keepLines w:val="0"/>
        <w:pageBreakBefore w:val="0"/>
        <w:widowControl w:val="0"/>
        <w:numPr>
          <w:ilvl w:val="0"/>
          <w:numId w:val="2"/>
        </w:numPr>
        <w:kinsoku/>
        <w:wordWrap/>
        <w:overflowPunct/>
        <w:topLinePunct w:val="0"/>
        <w:autoSpaceDE/>
        <w:autoSpaceDN/>
        <w:bidi w:val="0"/>
        <w:adjustRightInd/>
        <w:snapToGrid/>
        <w:spacing w:line="600" w:lineRule="exact"/>
        <w:ind w:left="108" w:leftChars="0" w:firstLine="560" w:firstLineChars="200"/>
        <w:textAlignment w:val="auto"/>
        <w:rPr>
          <w:rFonts w:hint="eastAsia" w:ascii="仿宋" w:hAnsi="仿宋" w:eastAsia="仿宋" w:cs="仿宋"/>
          <w:sz w:val="28"/>
          <w:szCs w:val="36"/>
        </w:rPr>
      </w:pPr>
      <w:r>
        <w:rPr>
          <w:rFonts w:hint="eastAsia" w:ascii="仿宋" w:hAnsi="仿宋" w:eastAsia="仿宋" w:cs="仿宋"/>
          <w:sz w:val="28"/>
          <w:szCs w:val="36"/>
        </w:rPr>
        <w:t>哲学社会科学创新人才支持计划实行限额申报。省教育厅根据高等学校哲学社会科学综合研究水平核定申报名额。   　　</w:t>
      </w:r>
    </w:p>
    <w:p w14:paraId="734C31DE">
      <w:pPr>
        <w:keepNext w:val="0"/>
        <w:keepLines w:val="0"/>
        <w:pageBreakBefore w:val="0"/>
        <w:widowControl w:val="0"/>
        <w:numPr>
          <w:ilvl w:val="0"/>
          <w:numId w:val="2"/>
        </w:numPr>
        <w:kinsoku/>
        <w:wordWrap/>
        <w:overflowPunct/>
        <w:topLinePunct w:val="0"/>
        <w:autoSpaceDE/>
        <w:autoSpaceDN/>
        <w:bidi w:val="0"/>
        <w:adjustRightInd/>
        <w:snapToGrid/>
        <w:spacing w:line="600" w:lineRule="exact"/>
        <w:ind w:left="108" w:leftChars="0" w:firstLine="560" w:firstLineChars="200"/>
        <w:textAlignment w:val="auto"/>
        <w:rPr>
          <w:rFonts w:hint="eastAsia" w:ascii="仿宋" w:hAnsi="仿宋" w:eastAsia="仿宋" w:cs="仿宋"/>
          <w:sz w:val="28"/>
          <w:szCs w:val="36"/>
        </w:rPr>
      </w:pPr>
      <w:r>
        <w:rPr>
          <w:rFonts w:hint="eastAsia" w:ascii="仿宋" w:hAnsi="仿宋" w:eastAsia="仿宋" w:cs="仿宋"/>
          <w:sz w:val="28"/>
          <w:szCs w:val="36"/>
        </w:rPr>
        <w:t xml:space="preserve">高等学校根据核定的申报名额进行遴选，经校内评审、公示后，向省教育厅择优推荐。 </w:t>
      </w:r>
      <w:r>
        <w:rPr>
          <w:rFonts w:hint="eastAsia" w:ascii="仿宋" w:hAnsi="仿宋" w:eastAsia="仿宋" w:cs="仿宋"/>
          <w:sz w:val="28"/>
          <w:szCs w:val="36"/>
        </w:rPr>
        <w:t xml:space="preserve">  </w:t>
      </w:r>
    </w:p>
    <w:p w14:paraId="56616B0E">
      <w:pPr>
        <w:keepNext w:val="0"/>
        <w:keepLines w:val="0"/>
        <w:pageBreakBefore w:val="0"/>
        <w:widowControl w:val="0"/>
        <w:numPr>
          <w:ilvl w:val="0"/>
          <w:numId w:val="1"/>
        </w:numPr>
        <w:kinsoku/>
        <w:wordWrap/>
        <w:overflowPunct/>
        <w:topLinePunct w:val="0"/>
        <w:autoSpaceDE/>
        <w:autoSpaceDN/>
        <w:bidi w:val="0"/>
        <w:adjustRightInd/>
        <w:snapToGrid/>
        <w:spacing w:line="600" w:lineRule="exact"/>
        <w:ind w:left="108" w:leftChars="0" w:firstLine="0" w:firstLineChars="0"/>
        <w:jc w:val="center"/>
        <w:textAlignment w:val="auto"/>
        <w:rPr>
          <w:rFonts w:hint="eastAsia" w:ascii="仿宋" w:hAnsi="仿宋" w:eastAsia="仿宋" w:cs="仿宋"/>
          <w:b/>
          <w:bCs/>
          <w:sz w:val="28"/>
          <w:szCs w:val="36"/>
        </w:rPr>
      </w:pPr>
      <w:r>
        <w:rPr>
          <w:rFonts w:hint="eastAsia" w:ascii="仿宋" w:hAnsi="仿宋" w:eastAsia="仿宋" w:cs="仿宋"/>
          <w:b/>
          <w:bCs/>
          <w:sz w:val="28"/>
          <w:szCs w:val="36"/>
        </w:rPr>
        <w:t>评审与批准</w:t>
      </w:r>
    </w:p>
    <w:p w14:paraId="0004CC4C">
      <w:pPr>
        <w:keepNext w:val="0"/>
        <w:keepLines w:val="0"/>
        <w:pageBreakBefore w:val="0"/>
        <w:widowControl w:val="0"/>
        <w:numPr>
          <w:ilvl w:val="0"/>
          <w:numId w:val="2"/>
        </w:numPr>
        <w:kinsoku/>
        <w:wordWrap/>
        <w:overflowPunct/>
        <w:topLinePunct w:val="0"/>
        <w:autoSpaceDE/>
        <w:autoSpaceDN/>
        <w:bidi w:val="0"/>
        <w:adjustRightInd/>
        <w:snapToGrid/>
        <w:spacing w:line="600" w:lineRule="exact"/>
        <w:ind w:left="108" w:leftChars="0" w:firstLine="560" w:firstLineChars="200"/>
        <w:textAlignment w:val="auto"/>
        <w:rPr>
          <w:rFonts w:hint="eastAsia" w:ascii="仿宋" w:hAnsi="仿宋" w:eastAsia="仿宋" w:cs="仿宋"/>
          <w:sz w:val="28"/>
          <w:szCs w:val="36"/>
        </w:rPr>
      </w:pPr>
      <w:r>
        <w:rPr>
          <w:rFonts w:hint="eastAsia" w:ascii="仿宋" w:hAnsi="仿宋" w:eastAsia="仿宋" w:cs="仿宋"/>
          <w:sz w:val="28"/>
          <w:szCs w:val="36"/>
        </w:rPr>
        <w:t>哲学社会科学创新人才支持计划的评审机构是“河南省高校哲学社会科学创新人才支持计划评审委员会”（以下简称“评审委员会”）。评审委员会专家从河南省高校哲学社会科学专家库中遴选产生。 哲学社会科学创新人才支持计划的遴选，遵循“鼓励创新、科学公正、同行评价、择优支持”的原则， 评审委员会在发扬民主、各抒己见、充分讨论的基础上，对照评审条件独立思考，做出客观的评价意见。   　　</w:t>
      </w:r>
    </w:p>
    <w:p w14:paraId="4F02D426">
      <w:pPr>
        <w:keepNext w:val="0"/>
        <w:keepLines w:val="0"/>
        <w:pageBreakBefore w:val="0"/>
        <w:widowControl w:val="0"/>
        <w:numPr>
          <w:ilvl w:val="0"/>
          <w:numId w:val="2"/>
        </w:numPr>
        <w:kinsoku/>
        <w:wordWrap/>
        <w:overflowPunct/>
        <w:topLinePunct w:val="0"/>
        <w:autoSpaceDE/>
        <w:autoSpaceDN/>
        <w:bidi w:val="0"/>
        <w:adjustRightInd/>
        <w:snapToGrid/>
        <w:spacing w:line="600" w:lineRule="exact"/>
        <w:ind w:left="108" w:leftChars="0" w:firstLine="560" w:firstLineChars="200"/>
        <w:textAlignment w:val="auto"/>
        <w:rPr>
          <w:rFonts w:hint="eastAsia" w:ascii="仿宋" w:hAnsi="仿宋" w:eastAsia="仿宋" w:cs="仿宋"/>
          <w:sz w:val="28"/>
          <w:szCs w:val="36"/>
        </w:rPr>
      </w:pPr>
      <w:r>
        <w:rPr>
          <w:rFonts w:hint="eastAsia" w:ascii="仿宋" w:hAnsi="仿宋" w:eastAsia="仿宋" w:cs="仿宋"/>
          <w:sz w:val="28"/>
          <w:szCs w:val="36"/>
        </w:rPr>
        <w:t xml:space="preserve">哲学社会科学创新人才支持计划的评审程序为资格审查、同行专家评议、会议答辩，评审结果经评审委员会主任签署意见后报省教育厅审定、公示、批准。 </w:t>
      </w:r>
      <w:r>
        <w:rPr>
          <w:rFonts w:hint="eastAsia" w:ascii="仿宋" w:hAnsi="仿宋" w:eastAsia="仿宋" w:cs="仿宋"/>
          <w:sz w:val="28"/>
          <w:szCs w:val="36"/>
        </w:rPr>
        <w:t xml:space="preserve">  </w:t>
      </w:r>
    </w:p>
    <w:p w14:paraId="6494F875">
      <w:pPr>
        <w:keepNext w:val="0"/>
        <w:keepLines w:val="0"/>
        <w:pageBreakBefore w:val="0"/>
        <w:widowControl w:val="0"/>
        <w:numPr>
          <w:ilvl w:val="0"/>
          <w:numId w:val="1"/>
        </w:numPr>
        <w:kinsoku/>
        <w:wordWrap/>
        <w:overflowPunct/>
        <w:topLinePunct w:val="0"/>
        <w:autoSpaceDE/>
        <w:autoSpaceDN/>
        <w:bidi w:val="0"/>
        <w:adjustRightInd/>
        <w:snapToGrid/>
        <w:spacing w:line="600" w:lineRule="exact"/>
        <w:ind w:left="108" w:leftChars="0" w:firstLine="0" w:firstLineChars="0"/>
        <w:jc w:val="center"/>
        <w:textAlignment w:val="auto"/>
        <w:rPr>
          <w:rFonts w:hint="eastAsia" w:ascii="仿宋" w:hAnsi="仿宋" w:eastAsia="仿宋" w:cs="仿宋"/>
          <w:b/>
          <w:bCs/>
          <w:sz w:val="28"/>
          <w:szCs w:val="36"/>
        </w:rPr>
      </w:pPr>
      <w:r>
        <w:rPr>
          <w:rFonts w:hint="eastAsia" w:ascii="仿宋" w:hAnsi="仿宋" w:eastAsia="仿宋" w:cs="仿宋"/>
          <w:b/>
          <w:bCs/>
          <w:sz w:val="28"/>
          <w:szCs w:val="36"/>
        </w:rPr>
        <w:t>支持与管理</w:t>
      </w:r>
    </w:p>
    <w:p w14:paraId="37119D6A">
      <w:pPr>
        <w:keepNext w:val="0"/>
        <w:keepLines w:val="0"/>
        <w:pageBreakBefore w:val="0"/>
        <w:widowControl w:val="0"/>
        <w:numPr>
          <w:ilvl w:val="0"/>
          <w:numId w:val="2"/>
        </w:numPr>
        <w:kinsoku/>
        <w:wordWrap/>
        <w:overflowPunct/>
        <w:topLinePunct w:val="0"/>
        <w:autoSpaceDE/>
        <w:autoSpaceDN/>
        <w:bidi w:val="0"/>
        <w:adjustRightInd/>
        <w:snapToGrid/>
        <w:spacing w:line="600" w:lineRule="exact"/>
        <w:ind w:left="108" w:leftChars="0" w:firstLine="560" w:firstLineChars="200"/>
        <w:textAlignment w:val="auto"/>
        <w:rPr>
          <w:rFonts w:hint="eastAsia" w:ascii="仿宋" w:hAnsi="仿宋" w:eastAsia="仿宋" w:cs="仿宋"/>
          <w:sz w:val="28"/>
          <w:szCs w:val="36"/>
        </w:rPr>
      </w:pPr>
      <w:r>
        <w:rPr>
          <w:rFonts w:hint="eastAsia" w:ascii="仿宋" w:hAnsi="仿宋" w:eastAsia="仿宋" w:cs="仿宋"/>
          <w:sz w:val="28"/>
          <w:szCs w:val="36"/>
        </w:rPr>
        <w:t>哲学社会科学创新人才支持计划期限为3-5年，由省财政教育资金给予资助。资助经费列入省财政预算，一次审定，分两批拨付。支持计划获批后拨付资助经费总额的80%，建设期满验收考核合格后拨付20%。支持计划承担学校要结合实际，给予计划入选者一定的经费支持， 督促入选者认真开展研究工作。</w:t>
      </w:r>
    </w:p>
    <w:p w14:paraId="6F6C66E7">
      <w:pPr>
        <w:keepNext w:val="0"/>
        <w:keepLines w:val="0"/>
        <w:pageBreakBefore w:val="0"/>
        <w:widowControl w:val="0"/>
        <w:numPr>
          <w:ilvl w:val="0"/>
          <w:numId w:val="2"/>
        </w:numPr>
        <w:kinsoku/>
        <w:wordWrap/>
        <w:overflowPunct/>
        <w:topLinePunct w:val="0"/>
        <w:autoSpaceDE/>
        <w:autoSpaceDN/>
        <w:bidi w:val="0"/>
        <w:adjustRightInd/>
        <w:snapToGrid/>
        <w:spacing w:line="600" w:lineRule="exact"/>
        <w:ind w:left="108" w:leftChars="0" w:firstLine="560" w:firstLineChars="200"/>
        <w:textAlignment w:val="auto"/>
        <w:rPr>
          <w:rFonts w:hint="eastAsia" w:ascii="仿宋" w:hAnsi="仿宋" w:eastAsia="仿宋" w:cs="仿宋"/>
          <w:sz w:val="28"/>
          <w:szCs w:val="36"/>
        </w:rPr>
      </w:pPr>
      <w:r>
        <w:rPr>
          <w:rFonts w:hint="eastAsia" w:ascii="仿宋" w:hAnsi="仿宋" w:eastAsia="仿宋" w:cs="仿宋"/>
          <w:sz w:val="28"/>
          <w:szCs w:val="36"/>
        </w:rPr>
        <w:t>计划入选者所在高校应严格执行有关财务管理规定，对资助经费单独建帐核算，专款专用，据实列支。   　　</w:t>
      </w:r>
    </w:p>
    <w:p w14:paraId="57C625CE">
      <w:pPr>
        <w:keepNext w:val="0"/>
        <w:keepLines w:val="0"/>
        <w:pageBreakBefore w:val="0"/>
        <w:widowControl w:val="0"/>
        <w:numPr>
          <w:ilvl w:val="0"/>
          <w:numId w:val="2"/>
        </w:numPr>
        <w:kinsoku/>
        <w:wordWrap/>
        <w:overflowPunct/>
        <w:topLinePunct w:val="0"/>
        <w:autoSpaceDE/>
        <w:autoSpaceDN/>
        <w:bidi w:val="0"/>
        <w:adjustRightInd/>
        <w:snapToGrid/>
        <w:spacing w:line="600" w:lineRule="exact"/>
        <w:ind w:left="108" w:leftChars="0" w:firstLine="560" w:firstLineChars="200"/>
        <w:textAlignment w:val="auto"/>
        <w:rPr>
          <w:rFonts w:hint="eastAsia" w:ascii="仿宋" w:hAnsi="仿宋" w:eastAsia="仿宋" w:cs="仿宋"/>
          <w:sz w:val="28"/>
          <w:szCs w:val="36"/>
        </w:rPr>
      </w:pPr>
      <w:r>
        <w:rPr>
          <w:rFonts w:hint="eastAsia" w:ascii="仿宋" w:hAnsi="仿宋" w:eastAsia="仿宋" w:cs="仿宋"/>
          <w:sz w:val="28"/>
          <w:szCs w:val="36"/>
        </w:rPr>
        <w:t xml:space="preserve">哲学社会科学创新人才支持计划采用目标管理与过程管理相结合的方式。目标管理由省教育厅社会科学研究与语言文字应用管理处负责，过程管理由计划入选者所在学校负责。 </w:t>
      </w:r>
    </w:p>
    <w:p w14:paraId="16A1ACED">
      <w:pPr>
        <w:keepNext w:val="0"/>
        <w:keepLines w:val="0"/>
        <w:pageBreakBefore w:val="0"/>
        <w:widowControl w:val="0"/>
        <w:numPr>
          <w:ilvl w:val="0"/>
          <w:numId w:val="1"/>
        </w:numPr>
        <w:kinsoku/>
        <w:wordWrap/>
        <w:overflowPunct/>
        <w:topLinePunct w:val="0"/>
        <w:autoSpaceDE/>
        <w:autoSpaceDN/>
        <w:bidi w:val="0"/>
        <w:adjustRightInd/>
        <w:snapToGrid/>
        <w:spacing w:line="600" w:lineRule="exact"/>
        <w:ind w:left="108" w:leftChars="0" w:firstLine="0" w:firstLineChars="0"/>
        <w:jc w:val="center"/>
        <w:textAlignment w:val="auto"/>
        <w:rPr>
          <w:rFonts w:hint="eastAsia" w:ascii="仿宋" w:hAnsi="仿宋" w:eastAsia="仿宋" w:cs="仿宋"/>
          <w:b/>
          <w:bCs/>
          <w:sz w:val="28"/>
          <w:szCs w:val="36"/>
        </w:rPr>
      </w:pPr>
      <w:r>
        <w:rPr>
          <w:rFonts w:hint="eastAsia" w:ascii="仿宋" w:hAnsi="仿宋" w:eastAsia="仿宋" w:cs="仿宋"/>
          <w:b/>
          <w:bCs/>
          <w:sz w:val="28"/>
          <w:szCs w:val="36"/>
        </w:rPr>
        <w:t>结项与验收</w:t>
      </w:r>
    </w:p>
    <w:p w14:paraId="6D7F51A8">
      <w:pPr>
        <w:keepNext w:val="0"/>
        <w:keepLines w:val="0"/>
        <w:pageBreakBefore w:val="0"/>
        <w:widowControl w:val="0"/>
        <w:numPr>
          <w:ilvl w:val="0"/>
          <w:numId w:val="2"/>
        </w:numPr>
        <w:kinsoku/>
        <w:wordWrap/>
        <w:overflowPunct/>
        <w:topLinePunct w:val="0"/>
        <w:autoSpaceDE/>
        <w:autoSpaceDN/>
        <w:bidi w:val="0"/>
        <w:adjustRightInd/>
        <w:snapToGrid/>
        <w:spacing w:line="600" w:lineRule="exact"/>
        <w:ind w:left="108" w:leftChars="0" w:firstLine="560" w:firstLineChars="200"/>
        <w:textAlignment w:val="auto"/>
        <w:rPr>
          <w:rFonts w:hint="eastAsia" w:ascii="仿宋" w:hAnsi="仿宋" w:eastAsia="仿宋" w:cs="仿宋"/>
          <w:sz w:val="28"/>
          <w:szCs w:val="36"/>
        </w:rPr>
      </w:pPr>
      <w:r>
        <w:rPr>
          <w:rFonts w:hint="eastAsia" w:ascii="仿宋" w:hAnsi="仿宋" w:eastAsia="仿宋" w:cs="仿宋"/>
          <w:sz w:val="28"/>
          <w:szCs w:val="36"/>
        </w:rPr>
        <w:t>哲学社会科学创新人才支持计划建设期满后，由省教育厅按照有关规定组织专家对哲学社会科学创新人才支持计划进行结项验收和绩效考核。申请结项一般应同时具备以下条件中的3项：  </w:t>
      </w:r>
      <w:r>
        <w:rPr>
          <w:rFonts w:hint="eastAsia" w:ascii="仿宋" w:hAnsi="仿宋" w:eastAsia="仿宋" w:cs="仿宋"/>
          <w:sz w:val="28"/>
          <w:szCs w:val="36"/>
        </w:rPr>
        <w:t xml:space="preserve"> 　　</w:t>
      </w:r>
    </w:p>
    <w:p w14:paraId="7B719710">
      <w:pPr>
        <w:keepNext w:val="0"/>
        <w:keepLines w:val="0"/>
        <w:pageBreakBefore w:val="0"/>
        <w:widowControl w:val="0"/>
        <w:numPr>
          <w:ilvl w:val="0"/>
          <w:numId w:val="4"/>
        </w:numPr>
        <w:kinsoku/>
        <w:wordWrap/>
        <w:overflowPunct/>
        <w:topLinePunct w:val="0"/>
        <w:autoSpaceDE/>
        <w:autoSpaceDN/>
        <w:bidi w:val="0"/>
        <w:adjustRightInd/>
        <w:snapToGrid/>
        <w:spacing w:line="600" w:lineRule="exact"/>
        <w:ind w:left="108" w:leftChars="0" w:firstLine="560" w:firstLineChars="200"/>
        <w:textAlignment w:val="auto"/>
        <w:rPr>
          <w:rFonts w:hint="eastAsia" w:ascii="仿宋" w:hAnsi="仿宋" w:eastAsia="仿宋" w:cs="仿宋"/>
          <w:sz w:val="28"/>
          <w:szCs w:val="36"/>
        </w:rPr>
      </w:pPr>
      <w:r>
        <w:rPr>
          <w:rFonts w:hint="eastAsia" w:ascii="仿宋" w:hAnsi="仿宋" w:eastAsia="仿宋" w:cs="仿宋"/>
          <w:sz w:val="28"/>
          <w:szCs w:val="36"/>
        </w:rPr>
        <w:t>著作类成果已经正式出版。   　　</w:t>
      </w:r>
    </w:p>
    <w:p w14:paraId="4AE9716A">
      <w:pPr>
        <w:keepNext w:val="0"/>
        <w:keepLines w:val="0"/>
        <w:pageBreakBefore w:val="0"/>
        <w:widowControl w:val="0"/>
        <w:numPr>
          <w:ilvl w:val="0"/>
          <w:numId w:val="4"/>
        </w:numPr>
        <w:kinsoku/>
        <w:wordWrap/>
        <w:overflowPunct/>
        <w:topLinePunct w:val="0"/>
        <w:autoSpaceDE/>
        <w:autoSpaceDN/>
        <w:bidi w:val="0"/>
        <w:adjustRightInd/>
        <w:snapToGrid/>
        <w:spacing w:line="600" w:lineRule="exact"/>
        <w:ind w:left="108" w:leftChars="0" w:firstLine="560" w:firstLineChars="200"/>
        <w:textAlignment w:val="auto"/>
        <w:rPr>
          <w:rFonts w:hint="eastAsia" w:ascii="仿宋" w:hAnsi="仿宋" w:eastAsia="仿宋" w:cs="仿宋"/>
          <w:sz w:val="28"/>
          <w:szCs w:val="36"/>
        </w:rPr>
      </w:pPr>
      <w:r>
        <w:rPr>
          <w:rFonts w:hint="eastAsia" w:ascii="仿宋" w:hAnsi="仿宋" w:eastAsia="仿宋" w:cs="仿宋"/>
          <w:sz w:val="28"/>
          <w:szCs w:val="36"/>
        </w:rPr>
        <w:t>发表CSSCI来源期刊相关论文1篇以上，发表SSCI、 A&amp;HCI收录期刊论文1篇以上，发表人民日报、光明日报头版专论或理论版文章（ 3000字以上） 1篇以上。   　　</w:t>
      </w:r>
    </w:p>
    <w:p w14:paraId="3C22AE1A">
      <w:pPr>
        <w:keepNext w:val="0"/>
        <w:keepLines w:val="0"/>
        <w:pageBreakBefore w:val="0"/>
        <w:widowControl w:val="0"/>
        <w:numPr>
          <w:ilvl w:val="0"/>
          <w:numId w:val="4"/>
        </w:numPr>
        <w:kinsoku/>
        <w:wordWrap/>
        <w:overflowPunct/>
        <w:topLinePunct w:val="0"/>
        <w:autoSpaceDE/>
        <w:autoSpaceDN/>
        <w:bidi w:val="0"/>
        <w:adjustRightInd/>
        <w:snapToGrid/>
        <w:spacing w:line="600" w:lineRule="exact"/>
        <w:ind w:left="108" w:leftChars="0" w:firstLine="560" w:firstLineChars="200"/>
        <w:textAlignment w:val="auto"/>
        <w:rPr>
          <w:rFonts w:hint="eastAsia" w:ascii="仿宋" w:hAnsi="仿宋" w:eastAsia="仿宋" w:cs="仿宋"/>
          <w:sz w:val="28"/>
          <w:szCs w:val="36"/>
        </w:rPr>
      </w:pPr>
      <w:r>
        <w:rPr>
          <w:rFonts w:hint="eastAsia" w:ascii="仿宋" w:hAnsi="仿宋" w:eastAsia="仿宋" w:cs="仿宋"/>
          <w:sz w:val="28"/>
          <w:szCs w:val="36"/>
        </w:rPr>
        <w:t>研究咨询报告属于应用研究的，提出的理论观点、政策建议等被省级以上党政领导机关采纳或者有省级以上领导批示；属于基础研究的，须有5位同行专家（至少有3名校外专家）鉴定意见。   　　</w:t>
      </w:r>
    </w:p>
    <w:p w14:paraId="5BD99514">
      <w:pPr>
        <w:keepNext w:val="0"/>
        <w:keepLines w:val="0"/>
        <w:pageBreakBefore w:val="0"/>
        <w:widowControl w:val="0"/>
        <w:numPr>
          <w:ilvl w:val="0"/>
          <w:numId w:val="4"/>
        </w:numPr>
        <w:kinsoku/>
        <w:wordWrap/>
        <w:overflowPunct/>
        <w:topLinePunct w:val="0"/>
        <w:autoSpaceDE/>
        <w:autoSpaceDN/>
        <w:bidi w:val="0"/>
        <w:adjustRightInd/>
        <w:snapToGrid/>
        <w:spacing w:line="600" w:lineRule="exact"/>
        <w:ind w:left="108" w:leftChars="0" w:firstLine="560" w:firstLineChars="200"/>
        <w:textAlignment w:val="auto"/>
        <w:rPr>
          <w:rFonts w:hint="eastAsia" w:ascii="仿宋" w:hAnsi="仿宋" w:eastAsia="仿宋" w:cs="仿宋"/>
          <w:sz w:val="28"/>
          <w:szCs w:val="36"/>
        </w:rPr>
      </w:pPr>
      <w:r>
        <w:rPr>
          <w:rFonts w:hint="eastAsia" w:ascii="仿宋" w:hAnsi="仿宋" w:eastAsia="仿宋" w:cs="仿宋"/>
          <w:sz w:val="28"/>
          <w:szCs w:val="36"/>
        </w:rPr>
        <w:t>建设期间获批国家社科基金、国家自然科学基金（管理学部）或教育部项目1项以上。   　　</w:t>
      </w:r>
    </w:p>
    <w:p w14:paraId="229D9E2D">
      <w:pPr>
        <w:keepNext w:val="0"/>
        <w:keepLines w:val="0"/>
        <w:pageBreakBefore w:val="0"/>
        <w:widowControl w:val="0"/>
        <w:numPr>
          <w:ilvl w:val="0"/>
          <w:numId w:val="4"/>
        </w:numPr>
        <w:kinsoku/>
        <w:wordWrap/>
        <w:overflowPunct/>
        <w:topLinePunct w:val="0"/>
        <w:autoSpaceDE/>
        <w:autoSpaceDN/>
        <w:bidi w:val="0"/>
        <w:adjustRightInd/>
        <w:snapToGrid/>
        <w:spacing w:line="600" w:lineRule="exact"/>
        <w:ind w:left="108" w:leftChars="0" w:firstLine="560" w:firstLineChars="200"/>
        <w:textAlignment w:val="auto"/>
        <w:rPr>
          <w:rFonts w:hint="eastAsia" w:ascii="仿宋" w:hAnsi="仿宋" w:eastAsia="仿宋" w:cs="仿宋"/>
          <w:sz w:val="28"/>
          <w:szCs w:val="36"/>
        </w:rPr>
      </w:pPr>
      <w:r>
        <w:rPr>
          <w:rFonts w:hint="eastAsia" w:ascii="仿宋" w:hAnsi="仿宋" w:eastAsia="仿宋" w:cs="仿宋"/>
          <w:sz w:val="28"/>
          <w:szCs w:val="36"/>
        </w:rPr>
        <w:t>成果获得国家级、省部级奖励（二等奖以上）或教育厅人文社科成果奖特等奖1项以上。   　　</w:t>
      </w:r>
    </w:p>
    <w:p w14:paraId="4ADD8905">
      <w:pPr>
        <w:keepNext w:val="0"/>
        <w:keepLines w:val="0"/>
        <w:pageBreakBefore w:val="0"/>
        <w:widowControl w:val="0"/>
        <w:numPr>
          <w:ilvl w:val="0"/>
          <w:numId w:val="2"/>
        </w:numPr>
        <w:kinsoku/>
        <w:wordWrap/>
        <w:overflowPunct/>
        <w:topLinePunct w:val="0"/>
        <w:autoSpaceDE/>
        <w:autoSpaceDN/>
        <w:bidi w:val="0"/>
        <w:adjustRightInd/>
        <w:snapToGrid/>
        <w:spacing w:line="600" w:lineRule="exact"/>
        <w:ind w:left="108" w:leftChars="0" w:firstLine="560" w:firstLineChars="200"/>
        <w:textAlignment w:val="auto"/>
        <w:rPr>
          <w:rFonts w:hint="eastAsia" w:ascii="仿宋" w:hAnsi="仿宋" w:eastAsia="仿宋" w:cs="仿宋"/>
          <w:sz w:val="28"/>
          <w:szCs w:val="36"/>
        </w:rPr>
      </w:pPr>
      <w:r>
        <w:rPr>
          <w:rFonts w:hint="eastAsia" w:ascii="仿宋" w:hAnsi="仿宋" w:eastAsia="仿宋" w:cs="仿宋"/>
          <w:sz w:val="28"/>
          <w:szCs w:val="36"/>
        </w:rPr>
        <w:t>计划入选者需填写《河南省高校哲学社会科学创新人才支持计划总结报告》及《项目经费决算报告》，并附相关材料。计划入选者须对结项材料的真实性负责。   　　</w:t>
      </w:r>
    </w:p>
    <w:p w14:paraId="5490C155">
      <w:pPr>
        <w:keepNext w:val="0"/>
        <w:keepLines w:val="0"/>
        <w:pageBreakBefore w:val="0"/>
        <w:widowControl w:val="0"/>
        <w:numPr>
          <w:ilvl w:val="0"/>
          <w:numId w:val="2"/>
        </w:numPr>
        <w:kinsoku/>
        <w:wordWrap/>
        <w:overflowPunct/>
        <w:topLinePunct w:val="0"/>
        <w:autoSpaceDE/>
        <w:autoSpaceDN/>
        <w:bidi w:val="0"/>
        <w:adjustRightInd/>
        <w:snapToGrid/>
        <w:spacing w:line="600" w:lineRule="exact"/>
        <w:ind w:left="108" w:leftChars="0" w:firstLine="560" w:firstLineChars="200"/>
        <w:textAlignment w:val="auto"/>
        <w:rPr>
          <w:rFonts w:hint="eastAsia" w:ascii="仿宋" w:hAnsi="仿宋" w:eastAsia="仿宋" w:cs="仿宋"/>
          <w:sz w:val="28"/>
          <w:szCs w:val="36"/>
        </w:rPr>
      </w:pPr>
      <w:r>
        <w:rPr>
          <w:rFonts w:hint="eastAsia" w:ascii="仿宋" w:hAnsi="仿宋" w:eastAsia="仿宋" w:cs="仿宋"/>
          <w:sz w:val="28"/>
          <w:szCs w:val="36"/>
        </w:rPr>
        <w:t>期满未能完成研究任务的，可申请延期一年。延期后仍未达到结项要求的将终止计划。对未开展任何研究工作的计划入选者将通报批评，同时按原拨款渠道退回资助经费。   　　</w:t>
      </w:r>
    </w:p>
    <w:p w14:paraId="458E26A3">
      <w:pPr>
        <w:keepNext w:val="0"/>
        <w:keepLines w:val="0"/>
        <w:pageBreakBefore w:val="0"/>
        <w:widowControl w:val="0"/>
        <w:numPr>
          <w:ilvl w:val="0"/>
          <w:numId w:val="2"/>
        </w:numPr>
        <w:kinsoku/>
        <w:wordWrap/>
        <w:overflowPunct/>
        <w:topLinePunct w:val="0"/>
        <w:autoSpaceDE/>
        <w:autoSpaceDN/>
        <w:bidi w:val="0"/>
        <w:adjustRightInd/>
        <w:snapToGrid/>
        <w:spacing w:line="600" w:lineRule="exact"/>
        <w:ind w:left="108" w:leftChars="0" w:firstLine="560" w:firstLineChars="200"/>
        <w:textAlignment w:val="auto"/>
        <w:rPr>
          <w:rFonts w:hint="eastAsia" w:ascii="仿宋" w:hAnsi="仿宋" w:eastAsia="仿宋" w:cs="仿宋"/>
          <w:sz w:val="28"/>
          <w:szCs w:val="36"/>
        </w:rPr>
      </w:pPr>
      <w:r>
        <w:rPr>
          <w:rFonts w:hint="eastAsia" w:ascii="仿宋" w:hAnsi="仿宋" w:eastAsia="仿宋" w:cs="仿宋"/>
          <w:sz w:val="28"/>
          <w:szCs w:val="36"/>
        </w:rPr>
        <w:t xml:space="preserve"> 支持计划建设期内所有成果须标注“河南省高校哲学社会科学创新人才支持计划资助”和计划编号，未标注的不能作为计划验收材料。   </w:t>
      </w:r>
    </w:p>
    <w:p w14:paraId="376E8466">
      <w:pPr>
        <w:keepNext w:val="0"/>
        <w:keepLines w:val="0"/>
        <w:pageBreakBefore w:val="0"/>
        <w:widowControl w:val="0"/>
        <w:numPr>
          <w:ilvl w:val="0"/>
          <w:numId w:val="1"/>
        </w:numPr>
        <w:kinsoku/>
        <w:wordWrap/>
        <w:overflowPunct/>
        <w:topLinePunct w:val="0"/>
        <w:autoSpaceDE/>
        <w:autoSpaceDN/>
        <w:bidi w:val="0"/>
        <w:adjustRightInd/>
        <w:snapToGrid/>
        <w:spacing w:line="600" w:lineRule="exact"/>
        <w:ind w:left="108" w:leftChars="0" w:firstLine="0" w:firstLineChars="0"/>
        <w:jc w:val="center"/>
        <w:textAlignment w:val="auto"/>
        <w:rPr>
          <w:rFonts w:hint="eastAsia" w:ascii="仿宋" w:hAnsi="仿宋" w:eastAsia="仿宋" w:cs="仿宋"/>
          <w:b/>
          <w:bCs/>
          <w:sz w:val="28"/>
          <w:szCs w:val="36"/>
        </w:rPr>
      </w:pPr>
      <w:r>
        <w:rPr>
          <w:rFonts w:hint="eastAsia" w:ascii="仿宋" w:hAnsi="仿宋" w:eastAsia="仿宋" w:cs="仿宋"/>
          <w:b/>
          <w:bCs/>
          <w:sz w:val="28"/>
          <w:szCs w:val="36"/>
        </w:rPr>
        <w:t>附 则</w:t>
      </w:r>
    </w:p>
    <w:p w14:paraId="20730A94">
      <w:pPr>
        <w:keepNext w:val="0"/>
        <w:keepLines w:val="0"/>
        <w:pageBreakBefore w:val="0"/>
        <w:widowControl w:val="0"/>
        <w:numPr>
          <w:ilvl w:val="0"/>
          <w:numId w:val="2"/>
        </w:numPr>
        <w:kinsoku/>
        <w:wordWrap/>
        <w:overflowPunct/>
        <w:topLinePunct w:val="0"/>
        <w:autoSpaceDE/>
        <w:autoSpaceDN/>
        <w:bidi w:val="0"/>
        <w:adjustRightInd/>
        <w:snapToGrid/>
        <w:spacing w:line="600" w:lineRule="exact"/>
        <w:ind w:left="108" w:leftChars="0" w:firstLine="560" w:firstLineChars="200"/>
        <w:textAlignment w:val="auto"/>
        <w:rPr>
          <w:rFonts w:hint="eastAsia" w:ascii="仿宋" w:hAnsi="仿宋" w:eastAsia="仿宋" w:cs="仿宋"/>
          <w:sz w:val="28"/>
          <w:szCs w:val="36"/>
        </w:rPr>
      </w:pPr>
      <w:r>
        <w:rPr>
          <w:rFonts w:hint="eastAsia" w:ascii="仿宋" w:hAnsi="仿宋" w:eastAsia="仿宋" w:cs="仿宋"/>
          <w:sz w:val="28"/>
          <w:szCs w:val="36"/>
        </w:rPr>
        <w:t>本办法自发布之日起施行。   　　</w:t>
      </w:r>
    </w:p>
    <w:p w14:paraId="0ABA5333">
      <w:pPr>
        <w:keepNext w:val="0"/>
        <w:keepLines w:val="0"/>
        <w:pageBreakBefore w:val="0"/>
        <w:widowControl w:val="0"/>
        <w:numPr>
          <w:ilvl w:val="0"/>
          <w:numId w:val="2"/>
        </w:numPr>
        <w:kinsoku/>
        <w:wordWrap/>
        <w:overflowPunct/>
        <w:topLinePunct w:val="0"/>
        <w:autoSpaceDE/>
        <w:autoSpaceDN/>
        <w:bidi w:val="0"/>
        <w:adjustRightInd/>
        <w:snapToGrid/>
        <w:spacing w:line="600" w:lineRule="exact"/>
        <w:ind w:left="108" w:leftChars="0" w:firstLine="560" w:firstLineChars="200"/>
        <w:textAlignment w:val="auto"/>
        <w:rPr>
          <w:rFonts w:hint="eastAsia" w:ascii="仿宋" w:hAnsi="仿宋" w:eastAsia="仿宋" w:cs="仿宋"/>
          <w:sz w:val="28"/>
          <w:szCs w:val="36"/>
        </w:rPr>
      </w:pPr>
      <w:r>
        <w:rPr>
          <w:rFonts w:hint="eastAsia" w:ascii="仿宋" w:hAnsi="仿宋" w:eastAsia="仿宋" w:cs="仿宋"/>
          <w:sz w:val="28"/>
          <w:szCs w:val="36"/>
        </w:rPr>
        <w:t>本办法由河南省教育厅负责解释。</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方正仿宋_GB2312">
    <w:panose1 w:val="02000000000000000000"/>
    <w:charset w:val="86"/>
    <w:family w:val="auto"/>
    <w:pitch w:val="default"/>
    <w:sig w:usb0="A00002BF" w:usb1="184F6CFA" w:usb2="00000012" w:usb3="00000000" w:csb0="00040001"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982336B"/>
    <w:multiLevelType w:val="singleLevel"/>
    <w:tmpl w:val="9982336B"/>
    <w:lvl w:ilvl="0" w:tentative="0">
      <w:start w:val="1"/>
      <w:numFmt w:val="decimal"/>
      <w:suff w:val="space"/>
      <w:lvlText w:val="%1."/>
      <w:lvlJc w:val="left"/>
      <w:pPr/>
    </w:lvl>
  </w:abstractNum>
  <w:abstractNum w:abstractNumId="1">
    <w:nsid w:val="A1AB2EFF"/>
    <w:multiLevelType w:val="singleLevel"/>
    <w:tmpl w:val="A1AB2EFF"/>
    <w:lvl w:ilvl="0" w:tentative="0">
      <w:start w:val="1"/>
      <w:numFmt w:val="chineseCounting"/>
      <w:suff w:val="space"/>
      <w:lvlText w:val="第%1条"/>
      <w:lvlJc w:val="left"/>
      <w:rPr>
        <w:rFonts w:hint="eastAsia"/>
      </w:rPr>
    </w:lvl>
  </w:abstractNum>
  <w:abstractNum w:abstractNumId="2">
    <w:nsid w:val="A50DBFCF"/>
    <w:multiLevelType w:val="singleLevel"/>
    <w:tmpl w:val="A50DBFCF"/>
    <w:lvl w:ilvl="0" w:tentative="0">
      <w:start w:val="1"/>
      <w:numFmt w:val="chineseCounting"/>
      <w:suff w:val="space"/>
      <w:lvlText w:val="第%1章"/>
      <w:lvlJc w:val="left"/>
      <w:pPr>
        <w:ind w:left="105" w:leftChars="0" w:firstLine="0" w:firstLineChars="0"/>
      </w:pPr>
      <w:rPr>
        <w:rFonts w:hint="eastAsia"/>
      </w:rPr>
    </w:lvl>
  </w:abstractNum>
  <w:abstractNum w:abstractNumId="3">
    <w:nsid w:val="40EDBDEB"/>
    <w:multiLevelType w:val="singleLevel"/>
    <w:tmpl w:val="40EDBDEB"/>
    <w:lvl w:ilvl="0" w:tentative="0">
      <w:start w:val="1"/>
      <w:numFmt w:val="chineseCounting"/>
      <w:suff w:val="nothing"/>
      <w:lvlText w:val="（%1）"/>
      <w:lvlJc w:val="left"/>
      <w:pPr>
        <w:ind w:left="0" w:firstLine="420"/>
      </w:pPr>
      <w:rPr>
        <w:rFonts w:hint="eastAsia"/>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C747577"/>
    <w:rsid w:val="7C7475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15</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2026-05-27T01:09:00Z</dcterms:created>
  <dc:creator>Boᴗo</dc:creator>
  <cp:lastModifiedBy>Boᴗo</cp:lastModifiedBy>
  <dcterms:modified xsi:type="dcterms:W3CDTF">2026-05-27T01:24:24Z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4AE971EDBB244684BF43AE68604057B2_11</vt:lpwstr>
  </property>
  <property fmtid="{D5CDD505-2E9C-101B-9397-08002B2CF9AE}" pid="4" name="KSOTemplateDocerSaveRecord">
    <vt:lpwstr>eyJoZGlkIjoiYTM5OGJjNDI3NTk0YzE2NjZmMDVlOWYwMjhhZGMxMDkiLCJ1c2VySWQiOiIxNzM3NDM1MTUyIn0=</vt:lpwstr>
  </property>
</Properties>
</file>